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2017/426 vom 5. März 2019</w:t>
      </w:r>
    </w:p>
    <w:p>
      <w:r>
        <w:t>Sg Versicherungsgericht, 2019-03-05, DE</w:t>
      </w:r>
    </w:p>
    <w:p>
      <w:r>
        <w:rPr>
          <w:b/>
        </w:rPr>
        <w:t xml:space="preserve">Quelle: </w:t>
      </w:r>
      <w:r>
        <w:t>https://mcp.opencaselaw.ch/entscheid/sg_publikationen_IV 2017_426</w:t>
      </w:r>
    </w:p>
    <w:p>
      <w:r>
        <w:t>FR: SG_VERSICHERUNGSGERICHT IV 2017/426 du 5 mars 2019</w:t>
      </w:r>
    </w:p>
    <w:p>
      <w:r>
        <w:t>IT: SG_VERSICHERUNGSGERICHT IV 2017/426 del 5 marzo 2019</w:t>
      </w:r>
    </w:p>
    <w:p>
      <w:pPr>
        <w:pStyle w:val="Heading2"/>
      </w:pPr>
      <w:r>
        <w:t>Regeste</w:t>
      </w:r>
    </w:p>
    <w:p>
      <w:r>
        <w:t>Art. 28 Abs. 2 IVG, Art. 17 Abs. 1 ATSG. Rentenrevision. Vorliegend ist eine wesentliche Verschlechterung des Gesundheitszustands zu verneinen und der Rentenanspruch bei einer Dreiviertelsrente zu belassen (Entscheid des Versicherungsgerichts des Kantons St. Gallen vom 5. März 2019, IV 2017/426).</w:t>
      </w:r>
    </w:p>
    <w:p>
      <w:pPr>
        <w:pStyle w:val="Heading2"/>
      </w:pPr>
      <w:r>
        <w:t>Erwägungen</w:t>
      </w:r>
    </w:p>
    <w:p>
      <w:r>
        <w:rPr>
          <w:b/>
        </w:rPr>
        <w:t>E. 1</w:t>
      </w:r>
    </w:p>
    <w:p>
      <w:r>
        <w:t>1.1  In der angefochtenen Verfügung vom 26. Oktober 2017 hat die Beschwerdegegnerin festgehalten, auf das Leistungsbegehren werde nicht eingetreten und das Erhöhungsgesuch abgewiesen. Nachdem sie jedoch mit Verfügung vom 3. Februar 2014 bereits eingetreten und das Erhöhungsgesuch der Beschwerdeführerin ablehnt hatte und sie in der Folge vom Versicherungsgericht mit Urteil vom 10. Mai 2016 (IV 2014/123) zur Einholung eines polydisziplinären Verlaufsgutachtens verpflichtet worden war, war nicht mehr strittig, ob auf das Gesuch der Beschwerdeführerin überhaupt einzutreten sei. Einzige Streitfrage war vielmehr, ob dem Gesuch um eine Erhöhung des Rentenanspruchs auf eine ganze Rente stattgegeben werde. Vorliegend ist daher zu prüfen, ob die Beschwerdegegnerin das Erhöhungsgesuch zu Recht abgewiesen hat.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Sinne von Art. 17 Abs. 1 ATSG dar (Urteil des Bundesgerichts vom 3. November 2008, 9C_562/08, E. 2.1). 1.4  Um beurteilen zu können, ob eine Rentenrevision begründet ist,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1.5  Der Sozialversicherungsprozess ist vom Untersuchungsgrundsatz beherrscht. Danach haben Gericht und Verwaltung von Amtes wegen für die richtige und vollständige Abklärung des rechtserheblichen Sachverhaltes zu sorgen (Urteil des Bundesgerichts vom 1. April 2011, 8C_73/2011, E. 4.1).</w:t>
      </w:r>
    </w:p>
    <w:p>
      <w:r>
        <w:rPr>
          <w:b/>
        </w:rPr>
        <w:t>E. 2</w:t>
      </w:r>
    </w:p>
    <w:p>
      <w:r>
        <w:t>2.1  Die ZMB-Gutachter diagnostizierten nach Konsensbesprechung im Gutachten vom 11. Juli 2017 mit Auswirkung auf die Arbeitsfähigkeit bei der Beschwerdeführerin eine anhaltende somatoforme Schmerzstörung, eine depressive Episode, gegenwärtig leichtgradig ausgeprägt, einen Status nach mutilierendem Trauma der linken adominanten Hand am 22.04.1996 mit Teilamputation Dig. I, Amputation Dig. II/III metacarpal, Trümmerfraktur Grundphalanx und Instabilität im PIP- und DIP Dig. IV, ein chronisches Schultersyndrom rechts mit Impingementsymptomatik, ein chronisches Schmerzsyndrom des rechten Handgelenks und Daumengrundgelenkes, ein intermittierendes belastungs-abhängiges, chronisches lumbospondylogenes Syndrom mit aktivierten Facettenarthrosen ohne radikuläre Ausfälle sowie eine mediale Gonarthrose beidseits, zurzeit rechts symptomatisch (IV-act. 244-57f.). Im Rahmen der Untersuchung seien in erster Linie Beschwerden am rechten Handgelenk und an der rechten Schulter geäussert worden. Es werde eine Kraftlosigkeit der rechten Hand betont, die Schmerzhaftigkeit werde einerseits auf das Daumengrundgelenk, andererseits auf das rechte Handgelenk lokalisiert bei hoher angegebener Schmerzintensität. Bei der klinischen Untersuchung ergebe sich eine freie Beweglichkeit des rechten Handgelenks und des rechten Daumengrundgelenkes. Radiologisch stellten sich eine Arthrose im MCP I und ein Status nach Trapezektomie mit resultierenden, leichten, arthrotischen Veränderungen im Carpalbereich dar. Insgesamt sei durch diese Befunde von einer deutlich eingeschränkten Funktionsfähigkeit des rechten Carpus beziehungsweise der rechten Hand und des rechten Daumens auszugehen. Genannt würden (auch) Beschwerden an der rechten Schulter nach einer Bandscheibenoperation im Jahre 2013. Im MRT habe sich im 07/2016 entsprechend des Berichtes von Dr. I.___ eine leichte Bursitis subacromial mit intrinsischen Veränderungen im Supraspinatusansatz sowie auch degenerativen Veränderungen im Bereich der langen Bizepssehne, insbesondere aber auch eine aktivierte AC-Arthrose dargestellt. Bei der aktuellen Untersuchung ergebe sich eine stark schmerzhafte Abduktionseinschränkung. Die Abduktionskraft sei auf etwa die Hälfte vermindert. Die Schmerzhaftigkeit werde subacromial lokalisiert (nicht jedoch am ACG). Die neu angefertigten Röntgenaufnahmen der rechten Schulter würden minimale Arthrosezeichen im Glenohumeralgelenk und am ACG ergeben. Es liege somit aktuell eine leichte bis mittelgradige Funktionsstörung der rechten Schulter bei deutlichem Reizzustand und geringen degenerativen objektivierbaren Veränderungen vor. Berichtet werde zudem über Schmerzen im rechten Kniegelenk. Röntgenologisch stelle sich eine leichte medialseitige Gelenkspaltverschmälerung mit leichten ossären Reaktionen dar. Es liege somit eine leichte medialseitige Gonarthrose rechts vor. Betreffend das linke Kniegelenk seien - im Gegensatz zu Berichten aus dem Jahr 2009 - keine Beschwerden mehr geschildert worden. Damals seien Zeichen einer medialseitigen Gonarthrose festgestellt worden (IV-act. 244-59f.). Die Beweglichkeit der unteren lumbalen Segmente stelle sich als leicht reduziert dar. Schmerzen würden bei Belastung der lumbosacralen Bogenstrukturen geäussert. Hinweise auf radiculäre Irritationen oder Defizite würden sich nicht ergeben. Die Röntgenaufnahmen der LWS in zwei Ebenen vom 5. April 2017 stellten eine lumbosacrale Hyperlordosierung mit einem Lordosewinkel von circa 90° und eine rechtskonvexe Skoliose mit einem Winkel nach Cobb von etwa 10° dar. Es bestehe eine leichte Erniedrigung des lumbosacralen Bandscheibenfaches. Die unteren beiden Wirbelgelenkspaare seien verstärkt sklerosiert. Es handle sich somit aktuell um ein fehlstatisches Wirbelsäulensyndrom mit aktivierter Facettenarthrose. Die Funktionsbeeinträchtigung sei als leicht einzustufen. Hinweise auf radiculäre Komponenten fehlten. Bei der Untersuchung falle eine leichte Einschränkung der Innenrotationsfähigkeit beider Hüftgelenke auf. Es werde eine peritrochantäre Schmerzhaftigkeit geäussert. Die Röntgenaufnahme des Beckens vom 5. April 2017 zeige erhebliche osteophytäre Anbauten an den Pfannenerkern bei jedoch regelrecht erhaltener Gelenkspalthöhe. Es handle sich hierbei somit um eine geringgradige initiale Coxarthrose beidseits mit ausgeprägter Trochanterdynie. Letztere sei auch als Folge der lumbosacralen Hyperlordosierung zu werten. Möglicherweise liege ursprünglich eine Pfannendachdysplasie vor, welche osteophytär kompensiert worden sei. Es liege zudem eine komplexe Fussinsuffizienz mit Rückfussvalgus-, Pes planus- und Halluxvalgus-Komponente beidseits vor. Am 15. April 2013 sei eine Ganglionexzision am TMT I durchgeführt worden. Die Beschwerdeführerin nenne diesbezüglich aktuell keine relevanten Beschwerden (IV-act. 244-60). 2.2  Infolge des Unfalls im 04/1996 habe sich bei der Beschwerdeführerin eine posttraumatische Belastungsstörung mit ängstlich-depressiver Färbung gezeigt. Diese habe sich verändert und es sei zu einer chronifizierten depressiven Reaktion auf körperlicher Traumatisierung beruhend, zusammen mit einer leichtgradigen depressiven Episode, gekommen. Seit 2009 habe sich die Situation der Beschwerdeführerin verändert. Es sei zu einer Zunahme von verschiedenen Symptomen auf der Schmerzebene gekommen. Bei der Begutachtung habe sich so ein buntes Bild von Schmerzen im Oberbauch, der rechten Hand, der Schulter, des Kopfes sowie des Rückens gezeigt. Die Beschwerdeführerin habe sich zunehmend klagend und leidend gezeigt. Die Beschwerden würden von der linken Hand weggehen und hin zu einer diffusen Körperproblematik. Im Verlauf habe sich eine zunehmende Chronifizierung gezeigt. Vor dem Hintergrund von psychosozialen Belastungen, worunter auch die Kürzung der IV-Rente falle, sowie verschiedenen innerpsychischen Konflikten, die bereits im psychiatrischen Teilgutachten ausgeführt worden seien, sei es zu einer Entwicklung der somatoformen Schmerzstörung gekommen, welche aktuell im Vordergrund stehe. Parallel dazu zeigten sich Symptome, die einer leichtgradig depressiven Episode zuzuordnen seien. Diese bestehe parallel zur Schmerzstörung (IV-act. 244-60f.). 2.3  Aus neurologischer Sicht hätten sich die Residuen einer peripheren Facialisparese links, welche die Beschwerdeführerin 2010 erlitten habe, sowie Zeichen einer Rest-Abduzensparese rechts mit Diplopien bei Blick nach rechts-lateral gezeigt. Abgesehen von den lokalen Folgen der Verletzungen an der linken Hand sei der neurologische Befund im Bereich der oberen und unteren Extremitäten unauffällig. Insbesondere eröffneten sich keine radiculären Ausfälle, alle Reflexe seien symmetrisch vorhanden, die Motorik intakt und die Sensibilität, abgesehen von den leicht verminderten Vibrationsempfindungen an Fingern und Zehen, am ehesten im Rahmen einer beginnenden diabetischen Polyneuropathie, unauffällig (IV-act. 244-61). 2.4  Die Gutachter kamen zum Schluss, es bestehe aus somatischer Sicht eine erheblich verminderte Funktionsfähigkeit der linken, adominanten Hand. Es könnten nur sehr leichte Greiffunktionen ohne koordinative Ansprüche wahrgenommen werden. Die linke Hand sei als Stützhand und nur in geringem Masse als Hilfshand einsetzbar. Mit der rechten oberen Extremität könnten keine Tätigkeiten über Schulterhöhe durchgeführt werden. Die Kraft der rechten Hand sei - überwiegend reflektorisch bei Carpalarthrose - vermindert. Weiter bestehe eine leicht verminderte Belastbarkeit der unteren Extremitäten bei initialer Coxarthrose beidseits, initialer, medialseitiger Gonarthrose beidseits und Fussinsuffizienz beidseits. Längeres Stehen und Gehen, Treppensteigen und Gehen auf unebenem Boden seien nicht möglich, ebenso wenig Tätigkeiten im Knien und Kauern (IV-act. 244-61f.). 2.5  Hinsichtlich der Indikatorenprüfung (Funktioneller Schweregrad/Gesundheits-schädigung, Behandlungserfolg/-resistenzen, Komplex der Persönlichkeit, Konzept der "komplexen" Ich-Funktionen, Sozialer Kontakt, Konsistenz der Fähigkeitsstörungen und Inanspruchnahme therapeutischer Optionen, vgl. BGE 141 V 281) ist auf die Ausführungen der Gutachter hinzuweisen, wonach die Beschwerdeführerin durch das Schmerzerleben auf sich und ihre Symptomatik fixiert und eingeengt sei. Für Themen wie berufliche Reintegration sei sie nicht offen. Dennoch nehme sie am gesellschaftlichen Leben teil. Sie unterhalte Kontakte zum Sohn und zu Kolleginnen. Die Besuche in Serbien seien ihr wegen der fehlenden Finanzen nicht mehr möglich. Bei vermehrtem Stress reagiere sie mit mehr Schmerzen und mit einer verstärkt depressiv-ängstlichen Symptomatik. Die eigene Unfähigkeit, Dinge anzugehen, werde dann verstärkt und ihr Aktionsradius werde dadurch geringer. Die Verstümmelung der Hand sei ein Belastungsfaktor, da sie den Unfall unmittelbar immer wieder sichtbar mache. Die Beschwerdeführerin sei ungelernt und könne somit nur einfache Tätigkeiten ausführen, die dann auch noch der Hand angepasst sein müssten. Die innerpsychischen Konflikte würden durch die Beschwerdeführerin nun nicht mehr über das Unfallgeschehen, sondern über die psychosomatische Störung deutlich. Eine grosse Kränkung stelle zudem die Kürzung der IV-Rente dar. Bei der Beschwerdeführerin zeige sich eine Chronifizierung. Obwohl sie angebe, dass sich die Unfallfolgen verbessert hätten (Reduktion des Phantomschmerzes, verbesserte Beweglichkeit), habe sich die übrige körperliche Symptomatik ausgeprägt und verstärkt. Diese Entwicklung führe zu einer deutlichen Selbstlimitierung. Hinweise auf eine relevante Persönlichkeitsstörung würden sich keine ergeben. Auch bestünden weder im somatischen noch im psychiatrischen Bereich Inkonsistenzen (IV-act. 244-62f.). Daraus leiteten die Gutachter eine Arbeitsunfähigkeit auf dem psychiatrischen Gebiet von 50% ab. Die Reduktion begründeten sie nachvollziehbar mit der somatoformen Schmerzstörung in Kombination mit der leichtgradigen Depression und der bestehenden Chronifizierung (IV-act. 244-63). 2.6  Gegen den Einwand der Beschwerdeführerin, worin diese sich auf den Bericht ihrer Hausärztin vom 23. August 2017 beruft (vgl. IV-act. 248), hielt Dr. G.___ am 24. Oktober 2017 (IV-act. 249) nach ausführlicher Stellungnahme zu den geltend gemachten Punkten zusammenfassend fest, es würden darin keine neuen Tatsachen vorgebracht, welche nicht bereits bekannt gewesen seien. Für die Beurteilung des Verlaufes sei nicht eine blosse Verschlechterung des Gesundheitszustands entscheidend, sondern eine daraus resultierende Reduktion der Arbeitsfähigkeit. Im Bereich des rechten Carpus sei eine Trapezektomie wegen Rhizarthrose 2014 durchgeführt worden sowie eine Dekompression L5/S1 links 2013. Der orthopädische Gutachter komme (dennoch) zum Schluss, dass die Gesamtarbeitsfähigkeit (adaptiert) aus orthopädischer Sicht nicht tiefer ausfalle als zum Zeitpunkt der Begutachtung am ABI Basel 2009. Ergänzt werden könne, dass Dr. H.___ die Beschwerdeführerin im Bereich des Rückens nicht mehr als voll belastbar betrachte und weiter erwähne, dass Tätigkeiten mit ständigem Bücken usw. nicht ausgeführt werden könnten. Sie beschreibe hier eine nicht adaptierte Tätigkeit, weshalb kein Widerspruch zum Gutachten bestehe (keine Arbeitsfähigkeit mehr in der angestammten Tätigkeit). Dem kann gefolgt werden. Das Gutachten des ZMB erscheint sorgfältig und in sich schlüssig. Es stützt sich auf die vorhandenen medizinischen Akten und ist nachvollziehbar, weshalb darauf abgestellt werden kann. Damit ist von einer adaptierten Arbeitsfähigkeit von 50% auszugehen.</w:t>
      </w:r>
    </w:p>
    <w:p>
      <w:r>
        <w:rPr>
          <w:b/>
        </w:rPr>
        <w:t>E. 3</w:t>
      </w:r>
    </w:p>
    <w:p>
      <w:r>
        <w:t>3.1  Die Beschwerdeführerin bringt vor, eine Verwertbarkeit ihrer Restarbeitsfähigkeit sei nicht realistisch. 3.2  Der als ausgeglichen unterstellte Arbeitsmarkt umfasst auch sogenannte Nischenarbeitsplätze, also Stellen- und Arbeitsangebote, bei welchen Behinderte mit einem sozialen Entgegenkommen vonseiten des Arbeitgebers rechnen können. Von einer Arbeitsgelegenheit kann gemäss bundesgerichtlicher Rechtsprechung nur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vom 28. April 2010, 8C_1050/2009, E. 3.3, mit Hinweisen, und vom 29. August 2007, 9C_95/2007, E. 4.3).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 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mit weiteren Hinweisen; Urteile des Bundesgerichts vom 22. März 2012, 9C_153/2011, E. 3.1; und vom 28. Mai 2009, 9C_918/2008, E. 4.2.2 mit Hinweisen).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456 f. E. 3.3 f.). 3.3  Vorliegend war der Beschwerdeführerin bereits in der Verfügung vom 21. Dezember 2000 ab 1. April 1997 ein Invaliditätsgrad von 67% anerkannt (IV-act. 60) und mit Verfügung vom 7. April 2004 die bisher ganze Rente zufolge einer Gesetzesänderung auf eine Dreiviertelsrente reduziert worden. Damals war die am __ September 1958 geborene Beschwerdeführerin __-jährig und sie verfügte noch über eine langjährige Aktivitätsdauer. Da alle früheren Erhöhungsgesuche der Beschwerdeführerin erfolglos blieben und sie demnach längst ihre Restarbeitsfähigkeit hätte verwerten sollen, kann sie im Hinblick auf die Schadenminderungspflicht allein aus ihrem vorgerückten Alter nichts zu ihren Gunsten ableiten (vgl. Urteil des Bundesgerichts vom 31. Januar 2019; 8C_704/2018, E. 6). Zwar hat sich die Höhe ihres Arbeitsfähigkeitsgrads gestützt auf die obigen Ausführungen seither nicht verschlechtert, jedoch sind weitere Kriterien hinzugekommen, welche die ihr noch zumutbaren angepassten Tätigkeiten zusätzlich einschränken. Trotzdem können diese allein mit dem Faktor Alter keine Unverwertbarkeit der Resterwerbsfähigkeit begründen. Zumal die Beschwerdeführerin im Zeitpunkt des ZMB-Gutachtens noch keine 59 Jahre alt war. Angesichts der relativ hohen Hürden, welche das Bundesgericht für die Annahme einer Unverwertbarkeit der (Rest-) Arbeitsfähigkeit älterer Menschen entwickelt hat (vgl. die Zusammenstellung im Urteil 9C_918/2008 vom 28. Mai 2008 E. 4.2.2 mit Hinweis auf das Urteil I 831/05 vom 21. August 2006 E. 4.1.1), ist insbesondere gestützt auf ihr Alter nicht von einer Unverwertbarkeit auszugehen. Die Beschwerdeführerin verfügt über eine Restarbeitsfähigkeit von 50%. Das Profil der ihr zumutbaren Arbeiten umfasst Tätigkeiten mit leichter körperlicher Arbeit in Wechselhaltung mit der linken adominanten Hand als Stütz- und Hilfshand, ohne stärkere Belastung der rechten Hand, ohne repetitive Überkopfarbeiten sowie ohne repetitives Treppengehen, Knien, Kauern und Gehen auf unebenem Boden (IV-act. 244-63). Auf Grund der vorliegenden Aktenlage kann die Beschwerdeführerin nicht als funktionelle Einhänderin gelten. Auf Grund der Arztberichte kann sie die linke Hand weiterhin jedenfalls als Hilfshand verwenden. Gemäss bundesgerichtlicher Rechtsprechung wird davon ausgegangen, dass der ausgeglichene Arbeitsmarkt für Personen, welche funktionell als Einarmige zu betrachten sind und überdies nur noch leichte Arbeiten verrichten können, genügend realistische Betätigungsmöglichkeiten bietet (Urteil des Bundesgerichts vom 8. September 2009, 8C_207/2009, E. 3.2). Zu denken ist etwa an einfache Überwachungs-, Prüf- und Kontrolltätigkeiten, die keinen Einsatz der linken Hand voraussetzen (vgl. Urteil des Bundesgerichts vom 27. August 2008, 8C_635/2007, E. 4.2 mit Hinweisen). Von einer geradezu aufgehobenen Verwertbarkeit der Restarbeitsfähigkeit kann damit auch mit Blick auf die etwas erweiterten Adaptionskriterien nicht ausgegangen werden.</w:t>
      </w:r>
    </w:p>
    <w:p>
      <w:r>
        <w:rPr>
          <w:b/>
        </w:rPr>
        <w:t>E. 4</w:t>
      </w:r>
    </w:p>
    <w:p>
      <w:r>
        <w:t>Gestützt auf die obigen Ausführungen ist weder eine wesentliche Veränderung des Gesundheitszustands noch eine erhebliche Veränderung der erwerblichen Auswirkungen des an sich gleich gebliebenen Gesundheitszustandes gegeben, weshalb kein Revisionsgrund vorliegt. Die Beschwerdeführerin hat somit weiterhin Anspruch auf eine Dreiviertelsrente. Selbst wenn von einer Verschlechterung hinsichtlich der Adaptionskriterien ausgegangen und im Rahmen eines Prozentvergleichs ein maximaler Leidensabzug von 25% gewährt würde (vgl. dazu beispielsweise: Urteil des Bundesgerichts vom 14. Mai 2018, 8C_744/2017, E. 5.2 mit weiteren Hinweisen), ergäbe sich ein IV-Grad von aufgerundet 63% (100% - [50% x 0.75]), womit es beim Anspruch auf eine Dreiviertelsrente bliebe.</w:t>
      </w:r>
    </w:p>
    <w:p>
      <w:r>
        <w:rPr>
          <w:b/>
        </w:rPr>
        <w:t>E. 5</w:t>
      </w:r>
    </w:p>
    <w:p>
      <w:r>
        <w:t>5.1  Nach dem Gesagten ist die angefochtene Verfügung vom 26. Oktober 2017 nicht zu beanstanden und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Der von ihr geleistete Kostenvorschuss von Fr. 600.-- ist daran anzurechnen. Entscheid 1. Die Beschwerde wird abgewiesen. 2. Die Beschwerdeführerin bezahlt eine Gerichtsgebühr von Fr. 600.--.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